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FE" w:rsidRDefault="00AE63FE" w:rsidP="00AE63FE">
      <w:r>
        <w:rPr>
          <w:rFonts w:ascii="Courier New" w:hAnsi="Courier New" w:cs="Courier New"/>
          <w:noProof/>
          <w:lang w:eastAsia="es-MX"/>
        </w:rPr>
        <w:drawing>
          <wp:inline distT="0" distB="0" distL="0" distR="0">
            <wp:extent cx="1515110" cy="621030"/>
            <wp:effectExtent l="0" t="0" r="8890" b="7620"/>
            <wp:docPr id="4" name="Imagen 4" descr="cid:image001.png@01DB6813.FE80E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1.png@01DB6813.FE80E8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515110" cy="62103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2333625" cy="675640"/>
            <wp:effectExtent l="0" t="0" r="9525" b="0"/>
            <wp:docPr id="3" name="Imagen 3" descr="cid:image002.png@01DB6813.FE80E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B6813.FE80E8D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333625" cy="675640"/>
                    </a:xfrm>
                    <a:prstGeom prst="rect">
                      <a:avLst/>
                    </a:prstGeom>
                    <a:noFill/>
                    <a:ln>
                      <a:noFill/>
                    </a:ln>
                  </pic:spPr>
                </pic:pic>
              </a:graphicData>
            </a:graphic>
          </wp:inline>
        </w:drawing>
      </w:r>
      <w:r>
        <w:rPr>
          <w:rFonts w:ascii="Courier New" w:hAnsi="Courier New" w:cs="Courier New"/>
          <w:noProof/>
          <w:lang w:eastAsia="es-MX"/>
        </w:rPr>
        <w:drawing>
          <wp:inline distT="0" distB="0" distL="0" distR="0">
            <wp:extent cx="914400" cy="628015"/>
            <wp:effectExtent l="0" t="0" r="0" b="635"/>
            <wp:docPr id="2" name="Imagen 2" descr="cid:image003.png@01DB6813.FE80E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B6813.FE80E8D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914400" cy="628015"/>
                    </a:xfrm>
                    <a:prstGeom prst="rect">
                      <a:avLst/>
                    </a:prstGeom>
                    <a:noFill/>
                    <a:ln>
                      <a:noFill/>
                    </a:ln>
                  </pic:spPr>
                </pic:pic>
              </a:graphicData>
            </a:graphic>
          </wp:inline>
        </w:drawing>
      </w:r>
      <w:r>
        <w:rPr>
          <w:rFonts w:ascii="Courier New" w:hAnsi="Courier New" w:cs="Courier New"/>
        </w:rPr>
        <w:t>   </w:t>
      </w:r>
    </w:p>
    <w:p w:rsidR="00AE63FE" w:rsidRDefault="00AE63FE" w:rsidP="00AE63FE">
      <w:pPr>
        <w:jc w:val="right"/>
      </w:pPr>
      <w:r>
        <w:rPr>
          <w:rFonts w:ascii="Courier New" w:hAnsi="Courier New" w:cs="Courier New"/>
        </w:rPr>
        <w:t>      </w:t>
      </w:r>
      <w:r>
        <w:rPr>
          <w:rFonts w:ascii="Courier New" w:hAnsi="Courier New" w:cs="Courier New"/>
        </w:rPr>
        <w:br/>
        <w:t>        </w:t>
      </w:r>
      <w:r>
        <w:rPr>
          <w:noProof/>
          <w:lang w:eastAsia="es-MX"/>
        </w:rPr>
        <w:drawing>
          <wp:inline distT="0" distB="0" distL="0" distR="0">
            <wp:extent cx="3371215" cy="730250"/>
            <wp:effectExtent l="0" t="0" r="635" b="0"/>
            <wp:docPr id="1" name="Imagen 1" descr="cid:image004.png@01DB6813.FE80E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4.png@01DB6813.FE80E8D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371215" cy="730250"/>
                    </a:xfrm>
                    <a:prstGeom prst="rect">
                      <a:avLst/>
                    </a:prstGeom>
                    <a:noFill/>
                    <a:ln>
                      <a:noFill/>
                    </a:ln>
                  </pic:spPr>
                </pic:pic>
              </a:graphicData>
            </a:graphic>
          </wp:inline>
        </w:drawing>
      </w:r>
    </w:p>
    <w:p w:rsidR="00AE63FE" w:rsidRDefault="00AE63FE" w:rsidP="00AE63FE">
      <w:r>
        <w:rPr>
          <w:rFonts w:ascii="Noto Sans" w:hAnsi="Noto Sans" w:cs="Noto Sans"/>
          <w:color w:val="1F497D"/>
        </w:rPr>
        <w:t> </w:t>
      </w:r>
      <w:r>
        <w:rPr>
          <w:rFonts w:ascii="Noto Sans" w:hAnsi="Noto Sans" w:cs="Noto Sans"/>
        </w:rPr>
        <w:t>                                                                                                                              </w:t>
      </w:r>
      <w:r>
        <w:rPr>
          <w:rFonts w:ascii="Noto Sans" w:hAnsi="Noto Sans" w:cs="Noto Sans"/>
          <w:color w:val="1F497D"/>
        </w:rPr>
        <w:t> </w:t>
      </w:r>
      <w:r>
        <w:rPr>
          <w:rFonts w:ascii="Noto Sans" w:hAnsi="Noto Sans" w:cs="Noto Sans"/>
        </w:rPr>
        <w:t> </w:t>
      </w:r>
    </w:p>
    <w:p w:rsidR="00AE63FE" w:rsidRDefault="00AE63FE" w:rsidP="00AE63FE">
      <w:pPr>
        <w:jc w:val="right"/>
      </w:pPr>
      <w:r>
        <w:rPr>
          <w:rFonts w:ascii="Noto Sans" w:hAnsi="Noto Sans" w:cs="Noto Sans"/>
          <w:color w:val="000000"/>
        </w:rPr>
        <w:t xml:space="preserve">Ciudad de </w:t>
      </w:r>
      <w:r>
        <w:rPr>
          <w:rFonts w:ascii="Noto Sans" w:hAnsi="Noto Sans" w:cs="Noto Sans"/>
        </w:rPr>
        <w:t>México, 21 de Noviembre de 2025</w:t>
      </w:r>
    </w:p>
    <w:p w:rsidR="00AE63FE" w:rsidRDefault="00AE63FE" w:rsidP="00AE63FE">
      <w:pPr>
        <w:jc w:val="right"/>
      </w:pPr>
      <w:r>
        <w:rPr>
          <w:rFonts w:ascii="Noto Sans" w:hAnsi="Noto Sans" w:cs="Noto Sans"/>
          <w:color w:val="000000"/>
        </w:rPr>
        <w:t> </w:t>
      </w:r>
    </w:p>
    <w:p w:rsidR="00AE63FE" w:rsidRDefault="00AE63FE" w:rsidP="00AE63FE">
      <w:pPr>
        <w:jc w:val="center"/>
      </w:pPr>
      <w:r>
        <w:rPr>
          <w:rFonts w:ascii="Noto Sans" w:hAnsi="Noto Sans" w:cs="Noto Sans"/>
          <w:b/>
          <w:bCs/>
          <w:color w:val="000000"/>
        </w:rPr>
        <w:t>ASUNTO: AMPLIACIÓN DE LA FECHA LÍMITE DE RECEP</w:t>
      </w:r>
      <w:bookmarkStart w:id="0" w:name="_GoBack"/>
      <w:bookmarkEnd w:id="0"/>
      <w:r>
        <w:rPr>
          <w:rFonts w:ascii="Noto Sans" w:hAnsi="Noto Sans" w:cs="Noto Sans"/>
          <w:b/>
          <w:bCs/>
          <w:color w:val="000000"/>
        </w:rPr>
        <w:t>CIÓN DE COTIZACIONES</w:t>
      </w:r>
    </w:p>
    <w:p w:rsidR="00AE63FE" w:rsidRDefault="00AE63FE" w:rsidP="00AE63FE">
      <w:pPr>
        <w:jc w:val="center"/>
      </w:pPr>
      <w:r>
        <w:rPr>
          <w:rFonts w:ascii="Noto Sans" w:hAnsi="Noto Sans" w:cs="Noto Sans"/>
          <w:b/>
          <w:bCs/>
        </w:rPr>
        <w:t> </w:t>
      </w:r>
    </w:p>
    <w:p w:rsidR="00AE63FE" w:rsidRDefault="00AE63FE" w:rsidP="00AE63FE">
      <w:pPr>
        <w:jc w:val="center"/>
      </w:pPr>
      <w:r>
        <w:rPr>
          <w:rFonts w:ascii="Noto Sans" w:hAnsi="Noto Sans" w:cs="Noto Sans"/>
          <w:b/>
          <w:bCs/>
        </w:rPr>
        <w:t xml:space="preserve">Investigación de Mercado No. </w:t>
      </w:r>
      <w:r w:rsidRPr="00AE63FE">
        <w:rPr>
          <w:rFonts w:ascii="Noto Sans" w:hAnsi="Noto Sans" w:cs="Noto Sans"/>
          <w:b/>
          <w:bCs/>
        </w:rPr>
        <w:t>220-25 para el “Servicio de Soporte Técnico y Mantenimiento de la Plataforma Tecnológica Oracle en el Instituto Mexicano del Seguro Social”.</w:t>
      </w:r>
    </w:p>
    <w:p w:rsidR="00AE63FE" w:rsidRDefault="00AE63FE" w:rsidP="00AE63FE">
      <w:pPr>
        <w:jc w:val="center"/>
      </w:pPr>
      <w:r>
        <w:rPr>
          <w:rFonts w:ascii="Noto Sans" w:hAnsi="Noto Sans" w:cs="Noto Sans"/>
          <w:b/>
          <w:bCs/>
        </w:rPr>
        <w:t> </w:t>
      </w:r>
    </w:p>
    <w:p w:rsidR="00AE63FE" w:rsidRDefault="00AE63FE" w:rsidP="00AE63FE">
      <w:r>
        <w:rPr>
          <w:rFonts w:ascii="Noto Sans" w:hAnsi="Noto Sans" w:cs="Noto Sans"/>
          <w:color w:val="000000"/>
        </w:rPr>
        <w:t xml:space="preserve">Estimado representante, </w:t>
      </w:r>
      <w:r>
        <w:rPr>
          <w:rFonts w:ascii="Noto Sans" w:hAnsi="Noto Sans" w:cs="Noto Sans"/>
          <w:color w:val="1F497D"/>
        </w:rPr>
        <w:t> </w:t>
      </w:r>
    </w:p>
    <w:p w:rsidR="00AE63FE" w:rsidRDefault="00AE63FE" w:rsidP="00AE63FE">
      <w:r>
        <w:rPr>
          <w:rFonts w:ascii="Noto Sans" w:hAnsi="Noto Sans" w:cs="Noto Sans"/>
        </w:rPr>
        <w:t> </w:t>
      </w:r>
    </w:p>
    <w:p w:rsidR="00AE63FE" w:rsidRDefault="00AE63FE" w:rsidP="00AE63FE">
      <w:pPr>
        <w:jc w:val="both"/>
        <w:rPr>
          <w:rFonts w:ascii="Noto Sans" w:hAnsi="Noto Sans" w:cs="Noto Sans"/>
          <w:b/>
          <w:bCs/>
          <w:color w:val="FF0000"/>
        </w:rPr>
      </w:pPr>
      <w:r>
        <w:rPr>
          <w:rFonts w:ascii="Noto Sans" w:hAnsi="Noto Sans" w:cs="Noto Sans"/>
          <w:color w:val="000000"/>
        </w:rPr>
        <w:t xml:space="preserve">Por este medio se hace de su conocimiento que la </w:t>
      </w:r>
      <w:r>
        <w:rPr>
          <w:rFonts w:ascii="Noto Sans" w:hAnsi="Noto Sans" w:cs="Noto Sans"/>
          <w:b/>
          <w:bCs/>
          <w:color w:val="FF0000"/>
        </w:rPr>
        <w:t>fecha límite de recepción de cotizaciones de la presente Investigación de Mercado ha sido ampliada al día martes 25 de Noviembre de 2025, horario abierto.</w:t>
      </w:r>
    </w:p>
    <w:p w:rsidR="00AE63FE" w:rsidRDefault="00AE63FE" w:rsidP="00AE63FE">
      <w:r>
        <w:rPr>
          <w:rFonts w:ascii="Noto Sans" w:hAnsi="Noto Sans" w:cs="Noto Sans"/>
          <w:color w:val="000000"/>
        </w:rPr>
        <w:t> </w:t>
      </w:r>
    </w:p>
    <w:p w:rsidR="00AE63FE" w:rsidRDefault="00AE63FE" w:rsidP="00AE63FE">
      <w:pPr>
        <w:jc w:val="both"/>
      </w:pPr>
      <w:r>
        <w:rPr>
          <w:rFonts w:ascii="Noto Sans" w:hAnsi="Noto Sans" w:cs="Noto Sans"/>
          <w:color w:val="000000"/>
          <w:highlight w:val="yellow"/>
        </w:rPr>
        <w:t xml:space="preserve">Para formular su cotización, se deberán considerar los aspectos señalados en el archivo </w:t>
      </w:r>
      <w:r w:rsidRPr="00AE63FE">
        <w:rPr>
          <w:rFonts w:ascii="Noto Sans" w:hAnsi="Noto Sans" w:cs="Noto Sans"/>
          <w:color w:val="000000"/>
          <w:highlight w:val="yellow"/>
        </w:rPr>
        <w:t xml:space="preserve">denominado </w:t>
      </w:r>
      <w:r w:rsidRPr="00AE63FE">
        <w:rPr>
          <w:rFonts w:ascii="Noto Sans" w:hAnsi="Noto Sans" w:cs="Noto Sans"/>
          <w:b/>
          <w:bCs/>
          <w:color w:val="000000"/>
          <w:highlight w:val="yellow"/>
        </w:rPr>
        <w:t xml:space="preserve">“FOCON 04_Cuest. IM 220-25 Oracle” </w:t>
      </w:r>
      <w:r w:rsidRPr="00AE63FE">
        <w:rPr>
          <w:rFonts w:ascii="Noto Sans" w:hAnsi="Noto Sans" w:cs="Noto Sans"/>
          <w:color w:val="000000"/>
          <w:highlight w:val="yellow"/>
        </w:rPr>
        <w:t xml:space="preserve">que incluye el formato para cotizar la </w:t>
      </w:r>
      <w:r w:rsidRPr="00AE63FE">
        <w:rPr>
          <w:rFonts w:ascii="Noto Sans" w:hAnsi="Noto Sans" w:cs="Noto Sans"/>
          <w:b/>
          <w:bCs/>
          <w:color w:val="000000"/>
          <w:highlight w:val="yellow"/>
        </w:rPr>
        <w:t>"Servicio de Soporte Técnico y Mantenimiento de la Plataforma Tecnológica Oracle en el Instituto Mexicano del Seguro Social"</w:t>
      </w:r>
      <w:r w:rsidRPr="00AE63FE">
        <w:rPr>
          <w:rFonts w:ascii="Noto Sans" w:hAnsi="Noto Sans" w:cs="Noto Sans"/>
          <w:color w:val="000000"/>
          <w:highlight w:val="yellow"/>
        </w:rPr>
        <w:t>,</w:t>
      </w:r>
      <w:r w:rsidRPr="00AE63FE">
        <w:rPr>
          <w:rFonts w:ascii="Noto Sans" w:hAnsi="Noto Sans" w:cs="Noto Sans"/>
          <w:b/>
          <w:bCs/>
          <w:color w:val="000000"/>
          <w:highlight w:val="yellow"/>
        </w:rPr>
        <w:t xml:space="preserve"> </w:t>
      </w:r>
      <w:r w:rsidRPr="00AE63FE">
        <w:rPr>
          <w:rFonts w:ascii="Noto Sans" w:hAnsi="Noto Sans" w:cs="Noto Sans"/>
          <w:color w:val="000000"/>
          <w:highlight w:val="yellow"/>
        </w:rPr>
        <w:t xml:space="preserve">considerando las condiciones señaladas en el Anexo Técnico y en los Términos y Condiciones, motivo por el cual, solicitamos hacer llegar el </w:t>
      </w:r>
      <w:r w:rsidRPr="00AE63FE">
        <w:rPr>
          <w:rFonts w:ascii="Noto Sans" w:hAnsi="Noto Sans" w:cs="Noto Sans"/>
          <w:b/>
          <w:bCs/>
          <w:color w:val="000000"/>
          <w:highlight w:val="yellow"/>
        </w:rPr>
        <w:t>“FOCON 04_Cuest. IM 220-25 Oracle</w:t>
      </w:r>
      <w:r>
        <w:rPr>
          <w:rFonts w:ascii="Noto Sans" w:hAnsi="Noto Sans" w:cs="Noto Sans"/>
          <w:b/>
          <w:bCs/>
          <w:color w:val="000000"/>
          <w:highlight w:val="yellow"/>
        </w:rPr>
        <w:t>”</w:t>
      </w:r>
      <w:r>
        <w:rPr>
          <w:rFonts w:ascii="Noto Sans" w:hAnsi="Noto Sans" w:cs="Noto Sans"/>
          <w:color w:val="000000"/>
          <w:highlight w:val="yellow"/>
        </w:rPr>
        <w:t xml:space="preserve"> </w:t>
      </w:r>
      <w:r w:rsidRPr="00AE63FE">
        <w:rPr>
          <w:rFonts w:ascii="Noto Sans" w:hAnsi="Noto Sans" w:cs="Noto Sans"/>
          <w:color w:val="000000"/>
          <w:highlight w:val="yellow"/>
        </w:rPr>
        <w:t xml:space="preserve">en formato Excel y en documento de la empresa, </w:t>
      </w:r>
      <w:r>
        <w:rPr>
          <w:rFonts w:ascii="Noto Sans" w:hAnsi="Noto Sans" w:cs="Noto Sans"/>
          <w:color w:val="000000"/>
          <w:highlight w:val="yellow"/>
        </w:rPr>
        <w:t>debidamente firmada por persona facultada (archivo.pdf).</w:t>
      </w:r>
    </w:p>
    <w:p w:rsidR="00AE63FE" w:rsidRDefault="00AE63FE" w:rsidP="00AE63FE">
      <w:r>
        <w:rPr>
          <w:rFonts w:ascii="Noto Sans" w:hAnsi="Noto Sans" w:cs="Noto Sans"/>
          <w:color w:val="000000"/>
        </w:rPr>
        <w:t> </w:t>
      </w:r>
    </w:p>
    <w:p w:rsidR="00AE63FE" w:rsidRDefault="00AE63FE" w:rsidP="00AE63FE">
      <w:pPr>
        <w:jc w:val="both"/>
      </w:pPr>
      <w:r>
        <w:rPr>
          <w:rFonts w:ascii="Noto Sans" w:hAnsi="Noto Sans" w:cs="Noto Sans"/>
        </w:rPr>
        <w:t xml:space="preserve">Deberá remitir ambos archivos </w:t>
      </w:r>
      <w:r>
        <w:rPr>
          <w:rFonts w:ascii="Noto Sans" w:hAnsi="Noto Sans" w:cs="Noto Sans"/>
          <w:b/>
          <w:bCs/>
        </w:rPr>
        <w:t>(</w:t>
      </w:r>
      <w:proofErr w:type="spellStart"/>
      <w:r>
        <w:rPr>
          <w:rFonts w:ascii="Noto Sans" w:hAnsi="Noto Sans" w:cs="Noto Sans"/>
          <w:b/>
          <w:bCs/>
        </w:rPr>
        <w:t>xlsb</w:t>
      </w:r>
      <w:proofErr w:type="spellEnd"/>
      <w:r>
        <w:rPr>
          <w:rFonts w:ascii="Noto Sans" w:hAnsi="Noto Sans" w:cs="Noto Sans"/>
          <w:b/>
          <w:bCs/>
        </w:rPr>
        <w:t xml:space="preserve"> y </w:t>
      </w:r>
      <w:proofErr w:type="spellStart"/>
      <w:r>
        <w:rPr>
          <w:rFonts w:ascii="Noto Sans" w:hAnsi="Noto Sans" w:cs="Noto Sans"/>
          <w:b/>
          <w:bCs/>
        </w:rPr>
        <w:t>pdf</w:t>
      </w:r>
      <w:proofErr w:type="spellEnd"/>
      <w:r>
        <w:rPr>
          <w:rFonts w:ascii="Noto Sans" w:hAnsi="Noto Sans" w:cs="Noto Sans"/>
          <w:b/>
          <w:bCs/>
        </w:rPr>
        <w:t>)</w:t>
      </w:r>
      <w:r>
        <w:rPr>
          <w:rFonts w:ascii="Noto Sans" w:hAnsi="Noto Sans" w:cs="Noto Sans"/>
        </w:rPr>
        <w:t xml:space="preserve"> a las siguientes direcciones:</w:t>
      </w:r>
      <w:r>
        <w:rPr>
          <w:rFonts w:ascii="Noto Sans" w:hAnsi="Noto Sans" w:cs="Noto Sans"/>
          <w:color w:val="1F497D"/>
        </w:rPr>
        <w:t xml:space="preserve"> </w:t>
      </w:r>
      <w:hyperlink r:id="rId13" w:history="1">
        <w:r>
          <w:rPr>
            <w:rStyle w:val="Hipervnculo"/>
            <w:rFonts w:ascii="Noto Sans" w:hAnsi="Noto Sans" w:cs="Noto Sans"/>
            <w:b/>
            <w:bCs/>
          </w:rPr>
          <w:t>roberto.valencia@imss.gob.mx</w:t>
        </w:r>
      </w:hyperlink>
      <w:r>
        <w:rPr>
          <w:rFonts w:ascii="Noto Sans" w:hAnsi="Noto Sans" w:cs="Noto Sans"/>
          <w:b/>
          <w:bCs/>
          <w:color w:val="1F497D"/>
          <w:u w:val="single"/>
        </w:rPr>
        <w:t xml:space="preserve"> y</w:t>
      </w:r>
      <w:r>
        <w:rPr>
          <w:rFonts w:ascii="Noto Sans" w:hAnsi="Noto Sans" w:cs="Noto Sans"/>
          <w:color w:val="1F497D"/>
        </w:rPr>
        <w:t xml:space="preserve"> </w:t>
      </w:r>
      <w:hyperlink r:id="rId14" w:history="1">
        <w:r>
          <w:rPr>
            <w:rStyle w:val="Hipervnculo"/>
            <w:rFonts w:ascii="Noto Sans" w:hAnsi="Noto Sans" w:cs="Noto Sans"/>
            <w:b/>
            <w:bCs/>
          </w:rPr>
          <w:t>magali.garcia@imss.gob.mx</w:t>
        </w:r>
      </w:hyperlink>
      <w:r>
        <w:rPr>
          <w:rFonts w:ascii="Noto Sans" w:hAnsi="Noto Sans" w:cs="Noto Sans"/>
        </w:rPr>
        <w:t xml:space="preserve">  y dirigir los documentos a nombre del </w:t>
      </w:r>
      <w:r>
        <w:rPr>
          <w:rFonts w:ascii="Noto Sans" w:hAnsi="Noto Sans" w:cs="Noto Sans"/>
          <w:b/>
          <w:bCs/>
          <w:color w:val="000000"/>
        </w:rPr>
        <w:t>Mtro. Gonzalo Urquieta Yépez</w:t>
      </w:r>
      <w:r>
        <w:rPr>
          <w:rFonts w:ascii="Noto Sans" w:hAnsi="Noto Sans" w:cs="Noto Sans"/>
          <w:color w:val="000000"/>
        </w:rPr>
        <w:t>, Titular de la División de Investigación de Mercado de Adquisiciones y Arrendamientos.</w:t>
      </w:r>
      <w:r>
        <w:rPr>
          <w:rFonts w:ascii="Noto Sans" w:hAnsi="Noto Sans" w:cs="Noto Sans"/>
        </w:rPr>
        <w:t xml:space="preserve"> </w:t>
      </w:r>
      <w:r>
        <w:rPr>
          <w:rFonts w:ascii="Noto Sans" w:hAnsi="Noto Sans" w:cs="Noto Sans"/>
          <w:color w:val="000000"/>
          <w:u w:val="single"/>
        </w:rPr>
        <w:t xml:space="preserve">(Los archivos remitidos en conjunto no deberán exceder la capacidad límite para recibir correos electrónicos de </w:t>
      </w:r>
      <w:r>
        <w:rPr>
          <w:rFonts w:ascii="Noto Sans" w:hAnsi="Noto Sans" w:cs="Noto Sans"/>
          <w:b/>
          <w:bCs/>
          <w:color w:val="000000"/>
          <w:u w:val="single"/>
        </w:rPr>
        <w:t>5 MB</w:t>
      </w:r>
      <w:r>
        <w:rPr>
          <w:rFonts w:ascii="Noto Sans" w:hAnsi="Noto Sans" w:cs="Noto Sans"/>
          <w:color w:val="000000"/>
          <w:u w:val="single"/>
        </w:rPr>
        <w:t>)</w:t>
      </w:r>
    </w:p>
    <w:p w:rsidR="00AE63FE" w:rsidRDefault="00AE63FE" w:rsidP="00AE63FE">
      <w:pPr>
        <w:jc w:val="both"/>
      </w:pPr>
      <w:r>
        <w:rPr>
          <w:rFonts w:ascii="Noto Sans" w:hAnsi="Noto Sans" w:cs="Noto Sans"/>
          <w:color w:val="000000"/>
        </w:rPr>
        <w:t> </w:t>
      </w:r>
    </w:p>
    <w:p w:rsidR="00AE63FE" w:rsidRDefault="00AE63FE" w:rsidP="00AE63FE">
      <w:pPr>
        <w:jc w:val="both"/>
      </w:pPr>
      <w:r>
        <w:rPr>
          <w:rFonts w:ascii="Noto Sans" w:hAnsi="Noto Sans" w:cs="Noto Sans"/>
          <w:color w:val="000000"/>
        </w:rPr>
        <w:t>C</w:t>
      </w:r>
      <w:proofErr w:type="spellStart"/>
      <w:r>
        <w:rPr>
          <w:rFonts w:ascii="Noto Sans" w:hAnsi="Noto Sans" w:cs="Noto Sans"/>
          <w:color w:val="000000"/>
          <w:u w:val="single"/>
          <w:lang w:val="es-ES"/>
        </w:rPr>
        <w:t>oncluido</w:t>
      </w:r>
      <w:proofErr w:type="spellEnd"/>
      <w:r>
        <w:rPr>
          <w:rFonts w:ascii="Noto Sans" w:hAnsi="Noto Sans" w:cs="Noto Sans"/>
          <w:color w:val="000000"/>
          <w:u w:val="single"/>
          <w:lang w:val="es-ES"/>
        </w:rPr>
        <w:t xml:space="preserve"> el periodo de recepción de cotizaciones, no se considerarán cotizaciones de forma extemporánea, por lo que solo se tomará en cuenta su última propuesta recibida dentro del plazo establecido y en los formatos indicado en el presente.</w:t>
      </w:r>
    </w:p>
    <w:p w:rsidR="00AE63FE" w:rsidRDefault="00AE63FE" w:rsidP="00AE63FE">
      <w:pPr>
        <w:jc w:val="both"/>
      </w:pPr>
      <w:r>
        <w:rPr>
          <w:rFonts w:ascii="Noto Sans" w:hAnsi="Noto Sans" w:cs="Noto Sans"/>
        </w:rPr>
        <w:lastRenderedPageBreak/>
        <w:t> </w:t>
      </w:r>
      <w:r>
        <w:rPr>
          <w:rFonts w:ascii="Noto Sans" w:hAnsi="Noto Sans" w:cs="Noto Sans"/>
          <w:color w:val="000000"/>
          <w:lang w:val="es-ES"/>
        </w:rPr>
        <w:t> </w:t>
      </w:r>
      <w:r>
        <w:rPr>
          <w:rFonts w:ascii="Noto Sans" w:hAnsi="Noto Sans" w:cs="Noto Sans"/>
          <w:b/>
          <w:bCs/>
          <w:color w:val="FF0000"/>
        </w:rPr>
        <w:t> </w:t>
      </w:r>
    </w:p>
    <w:p w:rsidR="00AE63FE" w:rsidRDefault="00AE63FE" w:rsidP="00AE63FE">
      <w:pPr>
        <w:jc w:val="both"/>
      </w:pPr>
      <w:r>
        <w:rPr>
          <w:rFonts w:ascii="Noto Sans" w:hAnsi="Noto Sans" w:cs="Noto Sans"/>
          <w:b/>
          <w:bCs/>
          <w:color w:val="FF0000"/>
        </w:rPr>
        <w:t>La totalidad de Investigaciones de Mercado, así como sus anexos adicionales (en caso de existir) puede encontrarlos en la siguiente liga:</w:t>
      </w:r>
    </w:p>
    <w:p w:rsidR="00AE63FE" w:rsidRDefault="00C57307" w:rsidP="00AE63FE">
      <w:pPr>
        <w:jc w:val="both"/>
      </w:pPr>
      <w:hyperlink r:id="rId15" w:history="1">
        <w:r w:rsidR="00AE63FE">
          <w:rPr>
            <w:rStyle w:val="Hipervnculo"/>
            <w:rFonts w:ascii="Noto Sans" w:hAnsi="Noto Sans" w:cs="Noto Sans"/>
            <w:b/>
            <w:bCs/>
          </w:rPr>
          <w:t>http://www.imss.gob.mx/proveedores/investigaciones-mercado</w:t>
        </w:r>
      </w:hyperlink>
      <w:r w:rsidR="00AE63FE">
        <w:rPr>
          <w:rFonts w:ascii="Noto Sans" w:hAnsi="Noto Sans" w:cs="Noto Sans"/>
          <w:b/>
          <w:bCs/>
          <w:color w:val="FF0000"/>
        </w:rPr>
        <w:t xml:space="preserve"> </w:t>
      </w:r>
    </w:p>
    <w:p w:rsidR="00AE63FE" w:rsidRDefault="00AE63FE" w:rsidP="00AE63FE">
      <w:pPr>
        <w:jc w:val="both"/>
      </w:pPr>
      <w:r>
        <w:rPr>
          <w:rFonts w:ascii="Noto Sans" w:hAnsi="Noto Sans" w:cs="Noto Sans"/>
          <w:b/>
          <w:bCs/>
          <w:color w:val="FF0000"/>
        </w:rPr>
        <w:t> </w:t>
      </w:r>
    </w:p>
    <w:p w:rsidR="00AE63FE" w:rsidRDefault="00AE63FE" w:rsidP="00AE63FE">
      <w:pPr>
        <w:jc w:val="both"/>
      </w:pPr>
      <w:r>
        <w:rPr>
          <w:rFonts w:ascii="Noto Sans" w:hAnsi="Noto Sans" w:cs="Noto Sans"/>
          <w:b/>
          <w:bCs/>
          <w:color w:val="FF0000"/>
        </w:rPr>
        <w:t xml:space="preserve">Favor de enviar acuse de recibo de esta solicitud. </w:t>
      </w:r>
    </w:p>
    <w:p w:rsidR="00AE63FE" w:rsidRDefault="00AE63FE" w:rsidP="00AE63FE">
      <w:pPr>
        <w:jc w:val="both"/>
      </w:pPr>
      <w:r>
        <w:rPr>
          <w:rFonts w:ascii="Noto Sans" w:hAnsi="Noto Sans" w:cs="Noto Sans"/>
        </w:rPr>
        <w:t> </w:t>
      </w:r>
    </w:p>
    <w:p w:rsidR="00AE63FE" w:rsidRDefault="00AE63FE" w:rsidP="00AE63FE">
      <w:pPr>
        <w:jc w:val="both"/>
      </w:pPr>
      <w:r>
        <w:rPr>
          <w:rFonts w:ascii="Noto Sans" w:hAnsi="Noto Sans" w:cs="Noto Sans"/>
          <w:color w:val="000000"/>
        </w:rPr>
        <w:t>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AE63FE" w:rsidRDefault="00AE63FE" w:rsidP="00AE63FE">
      <w:pPr>
        <w:jc w:val="both"/>
      </w:pPr>
      <w:r>
        <w:rPr>
          <w:rFonts w:ascii="Noto Sans" w:hAnsi="Noto Sans" w:cs="Noto Sans"/>
          <w:color w:val="000000"/>
        </w:rPr>
        <w:t> </w:t>
      </w:r>
    </w:p>
    <w:p w:rsidR="00AE63FE" w:rsidRDefault="00AE63FE" w:rsidP="00AE63FE">
      <w:pPr>
        <w:jc w:val="both"/>
      </w:pPr>
      <w:r>
        <w:rPr>
          <w:rFonts w:ascii="Noto Sans" w:hAnsi="Noto Sans" w:cs="Noto Sans"/>
          <w:color w:val="000000"/>
        </w:rPr>
        <w:t>Este documento no genera obligación alguna para la dependencia o entidad.</w:t>
      </w:r>
    </w:p>
    <w:p w:rsidR="00AE63FE" w:rsidRDefault="00AE63FE" w:rsidP="00AE63FE">
      <w:pPr>
        <w:jc w:val="both"/>
      </w:pPr>
      <w:r>
        <w:rPr>
          <w:rFonts w:ascii="Noto Sans" w:hAnsi="Noto Sans" w:cs="Noto Sans"/>
          <w:color w:val="000000"/>
        </w:rPr>
        <w:t> </w:t>
      </w:r>
    </w:p>
    <w:p w:rsidR="00AE63FE" w:rsidRDefault="00AE63FE" w:rsidP="00AE63FE">
      <w:pPr>
        <w:jc w:val="both"/>
      </w:pPr>
      <w:r>
        <w:rPr>
          <w:rFonts w:ascii="Noto Sans" w:hAnsi="Noto Sans" w:cs="Noto Sans"/>
          <w:b/>
          <w:bCs/>
        </w:rPr>
        <w:t>Atentamente.</w:t>
      </w:r>
    </w:p>
    <w:p w:rsidR="00AE63FE" w:rsidRDefault="00AE63FE" w:rsidP="00AE63FE">
      <w:pPr>
        <w:jc w:val="both"/>
      </w:pPr>
      <w:r>
        <w:rPr>
          <w:rFonts w:ascii="Noto Sans" w:hAnsi="Noto Sans" w:cs="Noto Sans"/>
        </w:rPr>
        <w:t> </w:t>
      </w:r>
    </w:p>
    <w:p w:rsidR="00AE63FE" w:rsidRDefault="00AE63FE" w:rsidP="00AE63FE">
      <w:pPr>
        <w:jc w:val="both"/>
      </w:pPr>
      <w:r>
        <w:rPr>
          <w:rFonts w:ascii="Noto Sans" w:hAnsi="Noto Sans" w:cs="Noto Sans"/>
          <w:color w:val="000000"/>
        </w:rPr>
        <w:t xml:space="preserve">Mtro. Gonzalo Urquieta Yépez, </w:t>
      </w:r>
    </w:p>
    <w:p w:rsidR="00AE63FE" w:rsidRDefault="00AE63FE" w:rsidP="00AE63FE">
      <w:pPr>
        <w:jc w:val="both"/>
      </w:pPr>
      <w:r>
        <w:rPr>
          <w:rFonts w:ascii="Noto Sans" w:hAnsi="Noto Sans" w:cs="Noto Sans"/>
          <w:color w:val="000000"/>
        </w:rPr>
        <w:t>Titular de la División de Investigación de Mercado de Adquisiciones y Arrendamientos.</w:t>
      </w:r>
    </w:p>
    <w:p w:rsidR="00AE63FE" w:rsidRDefault="00AE63FE" w:rsidP="00AE63FE">
      <w:pPr>
        <w:jc w:val="both"/>
      </w:pPr>
      <w:r>
        <w:rPr>
          <w:rFonts w:ascii="Noto Sans" w:hAnsi="Noto Sans" w:cs="Noto Sans"/>
        </w:rPr>
        <w:t> </w:t>
      </w:r>
    </w:p>
    <w:p w:rsidR="00AE63FE" w:rsidRDefault="00AE63FE" w:rsidP="00AE63FE">
      <w:r>
        <w:rPr>
          <w:rFonts w:ascii="Noto Sans" w:hAnsi="Noto Sans" w:cs="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cs="Noto Sans"/>
          <w:sz w:val="20"/>
          <w:szCs w:val="20"/>
        </w:rPr>
        <w:br/>
      </w:r>
      <w:hyperlink r:id="rId16" w:history="1">
        <w:r>
          <w:rPr>
            <w:rStyle w:val="Hipervnculo"/>
            <w:rFonts w:ascii="Noto Sans" w:hAnsi="Noto Sans" w:cs="Noto Sans"/>
            <w:sz w:val="20"/>
            <w:szCs w:val="20"/>
          </w:rPr>
          <w:t>https://compranet.hacienda.gob.mx/web/login.html</w:t>
        </w:r>
      </w:hyperlink>
      <w:r>
        <w:rPr>
          <w:rFonts w:ascii="Noto Sans" w:hAnsi="Noto Sans" w:cs="Noto Sans"/>
          <w:sz w:val="20"/>
          <w:szCs w:val="20"/>
        </w:rPr>
        <w:t xml:space="preserve">, </w:t>
      </w:r>
      <w:hyperlink r:id="rId17" w:history="1">
        <w:r>
          <w:rPr>
            <w:rStyle w:val="Hipervnculo"/>
            <w:rFonts w:ascii="Noto Sans" w:hAnsi="Noto Sans" w:cs="Noto Sans"/>
            <w:sz w:val="20"/>
            <w:szCs w:val="20"/>
          </w:rPr>
          <w:t>https://upcp-compranet.hacienda.gob.mx/</w:t>
        </w:r>
      </w:hyperlink>
      <w:r>
        <w:rPr>
          <w:rFonts w:ascii="Noto Sans" w:hAnsi="Noto Sans" w:cs="Noto Sans"/>
          <w:sz w:val="20"/>
          <w:szCs w:val="20"/>
        </w:rPr>
        <w:t xml:space="preserve"> precisando que para participar en la etapa de investigación de mercado no es requisito contar con el registro en dicho sistema.</w:t>
      </w:r>
    </w:p>
    <w:p w:rsidR="00AE63FE" w:rsidRDefault="00AE63FE" w:rsidP="00AE63FE">
      <w:r>
        <w:rPr>
          <w:rFonts w:ascii="Noto Sans" w:hAnsi="Noto Sans" w:cs="Noto Sans"/>
          <w:sz w:val="20"/>
          <w:szCs w:val="20"/>
        </w:rPr>
        <w:t>Aviso de privacidad integral:</w:t>
      </w:r>
      <w:r>
        <w:rPr>
          <w:rFonts w:ascii="Noto Sans" w:hAnsi="Noto Sans" w:cs="Noto Sans"/>
          <w:sz w:val="20"/>
          <w:szCs w:val="20"/>
        </w:rPr>
        <w:br/>
      </w:r>
      <w:hyperlink r:id="rId18" w:history="1">
        <w:r>
          <w:rPr>
            <w:rStyle w:val="Hipervnculo"/>
            <w:rFonts w:ascii="Noto Sans" w:hAnsi="Noto Sans" w:cs="Noto Sans"/>
            <w:sz w:val="20"/>
            <w:szCs w:val="20"/>
          </w:rPr>
          <w:t>http://www.imss.gob.mx/sites/all/statics/pdf/avisos-privacidad/DA/CIM/API-CIM-ADQ.pdf</w:t>
        </w:r>
      </w:hyperlink>
      <w:r>
        <w:rPr>
          <w:rFonts w:ascii="Noto Sans" w:hAnsi="Noto Sans" w:cs="Noto Sans"/>
          <w:sz w:val="20"/>
          <w:szCs w:val="20"/>
        </w:rPr>
        <w:br/>
        <w:t> Aviso de privacidad simplificado:</w:t>
      </w:r>
      <w:r>
        <w:rPr>
          <w:rFonts w:ascii="Noto Sans" w:hAnsi="Noto Sans" w:cs="Noto Sans"/>
          <w:sz w:val="20"/>
          <w:szCs w:val="20"/>
        </w:rPr>
        <w:br/>
      </w:r>
      <w:hyperlink r:id="rId19" w:history="1">
        <w:r>
          <w:rPr>
            <w:rStyle w:val="Hipervnculo"/>
            <w:rFonts w:ascii="Noto Sans" w:hAnsi="Noto Sans" w:cs="Noto Sans"/>
            <w:sz w:val="20"/>
            <w:szCs w:val="20"/>
          </w:rPr>
          <w:t>http://www.imss.gob.mx/sites/all/statics/pdf/avisos-privacidad/DA/CIM/APS-CIM-ADQ.pdf</w:t>
        </w:r>
      </w:hyperlink>
    </w:p>
    <w:p w:rsidR="00AE63FE" w:rsidRDefault="00AE63FE" w:rsidP="00AE63FE">
      <w:r>
        <w:rPr>
          <w:lang w:eastAsia="es-MX"/>
        </w:rPr>
        <w:t> </w:t>
      </w:r>
    </w:p>
    <w:p w:rsidR="00DE5F16" w:rsidRDefault="00DE5F16"/>
    <w:sectPr w:rsidR="00DE5F1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Noto Sans">
    <w:altName w:val="Mangal"/>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FE"/>
    <w:rsid w:val="00AE63FE"/>
    <w:rsid w:val="00C57307"/>
    <w:rsid w:val="00DE5F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FE"/>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E63FE"/>
    <w:rPr>
      <w:color w:val="0563C1"/>
      <w:u w:val="single"/>
    </w:rPr>
  </w:style>
  <w:style w:type="paragraph" w:styleId="Textodeglobo">
    <w:name w:val="Balloon Text"/>
    <w:basedOn w:val="Normal"/>
    <w:link w:val="TextodegloboCar"/>
    <w:uiPriority w:val="99"/>
    <w:semiHidden/>
    <w:unhideWhenUsed/>
    <w:rsid w:val="00AE63FE"/>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3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FE"/>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E63FE"/>
    <w:rPr>
      <w:color w:val="0563C1"/>
      <w:u w:val="single"/>
    </w:rPr>
  </w:style>
  <w:style w:type="paragraph" w:styleId="Textodeglobo">
    <w:name w:val="Balloon Text"/>
    <w:basedOn w:val="Normal"/>
    <w:link w:val="TextodegloboCar"/>
    <w:uiPriority w:val="99"/>
    <w:semiHidden/>
    <w:unhideWhenUsed/>
    <w:rsid w:val="00AE63FE"/>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3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5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B6813.FE80E8D0" TargetMode="External"/><Relationship Id="rId13" Type="http://schemas.openxmlformats.org/officeDocument/2006/relationships/hyperlink" Target="mailto:roberto.valencia@imss.gob.mx" TargetMode="External"/><Relationship Id="rId18" Type="http://schemas.openxmlformats.org/officeDocument/2006/relationships/hyperlink" Target="http://www.imss.gob.mx/sites/all/statics/pdf/avisos-privacidad/DA/CIM/API-CIM-ADQ.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cid:image004.png@01DB6813.FE80E8D0" TargetMode="External"/><Relationship Id="rId17" Type="http://schemas.openxmlformats.org/officeDocument/2006/relationships/hyperlink" Target="https://upcp-compranet.hacienda.gob.mx/" TargetMode="External"/><Relationship Id="rId2" Type="http://schemas.microsoft.com/office/2007/relationships/stylesWithEffects" Target="stylesWithEffects.xml"/><Relationship Id="rId16" Type="http://schemas.openxmlformats.org/officeDocument/2006/relationships/hyperlink" Target="https://compranet.hacienda.gob.mx/web/login.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cid:image001.png@01DB6813.FE80E8D0"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hyperlink" Target="http://www.imss.gob.mx/proveedores/investigaciones-mercado" TargetMode="External"/><Relationship Id="rId10" Type="http://schemas.openxmlformats.org/officeDocument/2006/relationships/image" Target="cid:image003.png@01DB6813.FE80E8D0" TargetMode="External"/><Relationship Id="rId19" Type="http://schemas.openxmlformats.org/officeDocument/2006/relationships/hyperlink" Target="http://www.imss.gob.mx/sites/all/statics/pdf/avisos-privacidad/DA/CIM/APS-CIM-ADQ.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magali.garcia@imss.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596</Words>
  <Characters>3283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Roberto Valencia Castro</dc:creator>
  <cp:lastModifiedBy>Jose Roberto Valencia Castro</cp:lastModifiedBy>
  <cp:revision>2</cp:revision>
  <dcterms:created xsi:type="dcterms:W3CDTF">2025-11-21T21:16:00Z</dcterms:created>
  <dcterms:modified xsi:type="dcterms:W3CDTF">2025-11-21T21:47:00Z</dcterms:modified>
</cp:coreProperties>
</file>